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7C21" w14:textId="77777777" w:rsidR="00CF4E8C" w:rsidRDefault="00371BC2" w:rsidP="006C54DC">
      <w:pPr>
        <w:rPr>
          <w:rFonts w:ascii="Arial Narrow" w:hAnsi="Arial Narrow"/>
        </w:rPr>
      </w:pPr>
      <w:r>
        <w:t xml:space="preserve">                         </w:t>
      </w:r>
      <w:r>
        <w:tab/>
      </w:r>
      <w:r>
        <w:tab/>
      </w:r>
      <w:r w:rsidR="00285728">
        <w:tab/>
      </w:r>
      <w:r w:rsidR="00525937" w:rsidRPr="00371BC2">
        <w:rPr>
          <w:rFonts w:ascii="Arial Narrow" w:hAnsi="Arial Narrow"/>
        </w:rPr>
        <w:t xml:space="preserve">                                                                                           </w:t>
      </w:r>
      <w:r w:rsidR="00525937">
        <w:rPr>
          <w:rFonts w:ascii="Arial Narrow" w:hAnsi="Arial Narrow"/>
        </w:rPr>
        <w:t xml:space="preserve">       </w:t>
      </w:r>
      <w:r w:rsidR="00525937">
        <w:rPr>
          <w:rFonts w:ascii="Arial Narrow" w:hAnsi="Arial Narrow"/>
        </w:rPr>
        <w:tab/>
      </w:r>
      <w:r w:rsidR="00525937">
        <w:rPr>
          <w:rFonts w:ascii="Arial Narrow" w:hAnsi="Arial Narrow"/>
        </w:rPr>
        <w:tab/>
      </w:r>
      <w:r w:rsidR="00525937">
        <w:rPr>
          <w:rFonts w:ascii="Arial Narrow" w:hAnsi="Arial Narrow"/>
        </w:rPr>
        <w:tab/>
      </w:r>
      <w:r w:rsidR="00CF4E8C">
        <w:rPr>
          <w:noProof/>
        </w:rPr>
        <w:drawing>
          <wp:inline distT="0" distB="0" distL="0" distR="0" wp14:anchorId="48AB2E66" wp14:editId="0AED4B79">
            <wp:extent cx="1838325" cy="477719"/>
            <wp:effectExtent l="0" t="0" r="0" b="0"/>
            <wp:docPr id="1" name="Picture 1" descr="A blue letter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etter with white background&#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360" cy="482146"/>
                    </a:xfrm>
                    <a:prstGeom prst="rect">
                      <a:avLst/>
                    </a:prstGeom>
                    <a:noFill/>
                    <a:ln>
                      <a:noFill/>
                    </a:ln>
                  </pic:spPr>
                </pic:pic>
              </a:graphicData>
            </a:graphic>
          </wp:inline>
        </w:drawing>
      </w:r>
    </w:p>
    <w:p w14:paraId="55991D26" w14:textId="56430982" w:rsidR="00951107" w:rsidRDefault="00CF4E8C" w:rsidP="006C54DC">
      <w:pPr>
        <w:rPr>
          <w:rFonts w:ascii="Arial Narrow" w:hAnsi="Arial Narrow"/>
          <w:color w:val="4472C4" w:themeColor="accent1"/>
        </w:rPr>
      </w:pPr>
      <w:r w:rsidRPr="00CF4E8C">
        <w:rPr>
          <w:rFonts w:ascii="Arial Narrow" w:hAnsi="Arial Narrow"/>
          <w:color w:val="4472C4" w:themeColor="accent1"/>
        </w:rPr>
        <w:t xml:space="preserve">             5101 N 12thAve Suite C Pensacola FL 32504</w:t>
      </w:r>
      <w:r w:rsidR="00371BC2" w:rsidRPr="00CF4E8C">
        <w:rPr>
          <w:rFonts w:ascii="Arial Narrow" w:hAnsi="Arial Narrow"/>
          <w:color w:val="4472C4" w:themeColor="accent1"/>
        </w:rPr>
        <w:tab/>
      </w:r>
      <w:hyperlink r:id="rId8" w:history="1">
        <w:r w:rsidRPr="00F50E43">
          <w:rPr>
            <w:rStyle w:val="Hyperlink"/>
            <w:rFonts w:ascii="Arial Narrow" w:hAnsi="Arial Narrow"/>
          </w:rPr>
          <w:t>mail@ipmi.org</w:t>
        </w:r>
      </w:hyperlink>
    </w:p>
    <w:p w14:paraId="77C77522" w14:textId="639CC168" w:rsidR="000B1F07" w:rsidRPr="000B1F07" w:rsidRDefault="00CF4E8C" w:rsidP="000B1F07">
      <w:pPr>
        <w:rPr>
          <w:rFonts w:ascii="Arial Narrow" w:hAnsi="Arial Narrow"/>
          <w:color w:val="4472C4" w:themeColor="accent1"/>
        </w:rPr>
      </w:pPr>
      <w:r>
        <w:rPr>
          <w:rFonts w:ascii="Arial Narrow" w:hAnsi="Arial Narrow"/>
          <w:color w:val="4472C4" w:themeColor="accent1"/>
        </w:rPr>
        <w:t xml:space="preserve">              www.ipmi.org</w:t>
      </w:r>
    </w:p>
    <w:p w14:paraId="760F4413" w14:textId="56C26044" w:rsidR="000B1F07" w:rsidRDefault="000B1F07" w:rsidP="006631C2">
      <w:pPr>
        <w:pStyle w:val="NoSpacing"/>
        <w:rPr>
          <w:sz w:val="20"/>
          <w:szCs w:val="20"/>
        </w:rPr>
      </w:pPr>
      <w:hyperlink r:id="rId9" w:history="1">
        <w:r w:rsidRPr="00020FFB">
          <w:rPr>
            <w:rStyle w:val="Hyperlink"/>
            <w:sz w:val="20"/>
            <w:szCs w:val="20"/>
          </w:rPr>
          <w:t>maureen.guilfoile@cmegroup.com</w:t>
        </w:r>
      </w:hyperlink>
    </w:p>
    <w:p w14:paraId="35B70B90" w14:textId="6279CF36" w:rsidR="000B1F07" w:rsidRDefault="000B1F07" w:rsidP="006631C2">
      <w:pPr>
        <w:pStyle w:val="NoSpacing"/>
        <w:rPr>
          <w:sz w:val="20"/>
          <w:szCs w:val="20"/>
        </w:rPr>
      </w:pPr>
      <w:r>
        <w:rPr>
          <w:sz w:val="20"/>
          <w:szCs w:val="20"/>
        </w:rPr>
        <w:t>Maureen Guilfoile</w:t>
      </w:r>
    </w:p>
    <w:p w14:paraId="1BDE0585" w14:textId="39E5889F" w:rsidR="006631C2" w:rsidRPr="006631C2" w:rsidRDefault="006631C2" w:rsidP="006631C2">
      <w:pPr>
        <w:pStyle w:val="NoSpacing"/>
        <w:rPr>
          <w:sz w:val="20"/>
          <w:szCs w:val="20"/>
        </w:rPr>
      </w:pPr>
      <w:r w:rsidRPr="006631C2">
        <w:rPr>
          <w:sz w:val="20"/>
          <w:szCs w:val="20"/>
        </w:rPr>
        <w:t>Managing Director and Chief Regulatory Counsel</w:t>
      </w:r>
    </w:p>
    <w:p w14:paraId="2F867DA8" w14:textId="77777777" w:rsidR="006631C2" w:rsidRPr="006631C2" w:rsidRDefault="006631C2" w:rsidP="006631C2">
      <w:pPr>
        <w:pStyle w:val="NoSpacing"/>
        <w:rPr>
          <w:sz w:val="20"/>
          <w:szCs w:val="20"/>
        </w:rPr>
      </w:pPr>
      <w:r w:rsidRPr="006631C2">
        <w:rPr>
          <w:sz w:val="20"/>
          <w:szCs w:val="20"/>
        </w:rPr>
        <w:t>CME Group</w:t>
      </w:r>
      <w:r w:rsidRPr="006631C2">
        <w:rPr>
          <w:sz w:val="20"/>
          <w:szCs w:val="20"/>
        </w:rPr>
        <w:br/>
        <w:t>20 S Wacker Dr</w:t>
      </w:r>
      <w:r w:rsidRPr="006631C2">
        <w:rPr>
          <w:sz w:val="20"/>
          <w:szCs w:val="20"/>
        </w:rPr>
        <w:br/>
        <w:t>Chicago, IL 60606</w:t>
      </w:r>
    </w:p>
    <w:p w14:paraId="558F74AA" w14:textId="77777777" w:rsidR="006631C2" w:rsidRPr="006631C2" w:rsidRDefault="006631C2" w:rsidP="006631C2">
      <w:pPr>
        <w:pStyle w:val="NoSpacing"/>
        <w:rPr>
          <w:sz w:val="20"/>
          <w:szCs w:val="20"/>
        </w:rPr>
      </w:pPr>
    </w:p>
    <w:p w14:paraId="708A99DC" w14:textId="77777777" w:rsidR="006631C2" w:rsidRDefault="006631C2" w:rsidP="006631C2">
      <w:pPr>
        <w:ind w:left="1440" w:hanging="720"/>
        <w:rPr>
          <w:sz w:val="20"/>
          <w:szCs w:val="20"/>
        </w:rPr>
      </w:pPr>
      <w:r w:rsidRPr="006631C2">
        <w:rPr>
          <w:sz w:val="20"/>
          <w:szCs w:val="20"/>
        </w:rPr>
        <w:t>Re:</w:t>
      </w:r>
      <w:r w:rsidRPr="006631C2">
        <w:rPr>
          <w:sz w:val="20"/>
          <w:szCs w:val="20"/>
        </w:rPr>
        <w:tab/>
        <w:t xml:space="preserve">Modifications to NYMEX/COMEX Fee Schedule for Precious </w:t>
      </w:r>
      <w:proofErr w:type="gramStart"/>
      <w:r w:rsidRPr="006631C2">
        <w:rPr>
          <w:sz w:val="20"/>
          <w:szCs w:val="20"/>
        </w:rPr>
        <w:t>Metals</w:t>
      </w:r>
      <w:proofErr w:type="gramEnd"/>
      <w:r w:rsidRPr="006631C2">
        <w:rPr>
          <w:sz w:val="20"/>
          <w:szCs w:val="20"/>
        </w:rPr>
        <w:t xml:space="preserve"> Futures         </w:t>
      </w:r>
    </w:p>
    <w:p w14:paraId="7B7B8767" w14:textId="2A673471" w:rsidR="006631C2" w:rsidRPr="006631C2" w:rsidRDefault="006631C2" w:rsidP="006631C2">
      <w:pPr>
        <w:ind w:left="1440" w:hanging="720"/>
        <w:rPr>
          <w:sz w:val="20"/>
          <w:szCs w:val="20"/>
        </w:rPr>
      </w:pPr>
      <w:r w:rsidRPr="006631C2">
        <w:rPr>
          <w:sz w:val="20"/>
          <w:szCs w:val="20"/>
        </w:rPr>
        <w:t xml:space="preserve">   </w:t>
      </w:r>
      <w:r>
        <w:rPr>
          <w:sz w:val="20"/>
          <w:szCs w:val="20"/>
        </w:rPr>
        <w:t xml:space="preserve">        </w:t>
      </w:r>
      <w:r w:rsidRPr="006631C2">
        <w:rPr>
          <w:sz w:val="20"/>
          <w:szCs w:val="20"/>
        </w:rPr>
        <w:t xml:space="preserve">  </w:t>
      </w:r>
      <w:r w:rsidRPr="006631C2">
        <w:rPr>
          <w:sz w:val="20"/>
          <w:szCs w:val="20"/>
          <w:u w:val="single"/>
        </w:rPr>
        <w:t>NYMEX Submission No. 25-252</w:t>
      </w:r>
    </w:p>
    <w:p w14:paraId="4D067EF7" w14:textId="77777777" w:rsidR="006631C2" w:rsidRPr="006631C2" w:rsidRDefault="006631C2" w:rsidP="006631C2">
      <w:pPr>
        <w:rPr>
          <w:sz w:val="20"/>
          <w:szCs w:val="20"/>
        </w:rPr>
      </w:pPr>
      <w:r w:rsidRPr="006631C2">
        <w:rPr>
          <w:sz w:val="20"/>
          <w:szCs w:val="20"/>
        </w:rPr>
        <w:t>Dear Ms. Guilfoile,</w:t>
      </w:r>
    </w:p>
    <w:p w14:paraId="0D41B003" w14:textId="77777777" w:rsidR="006631C2" w:rsidRPr="006631C2" w:rsidRDefault="006631C2" w:rsidP="006631C2">
      <w:pPr>
        <w:rPr>
          <w:sz w:val="20"/>
          <w:szCs w:val="20"/>
        </w:rPr>
      </w:pPr>
      <w:r w:rsidRPr="006631C2">
        <w:rPr>
          <w:sz w:val="20"/>
          <w:szCs w:val="20"/>
        </w:rPr>
        <w:t xml:space="preserve">On behalf of the International Precious Metals Institute and its membership, we write to express our profound concerns over the recent modifications to the NYMEX/COMEX fee schedule for precious metals futures, effective July 14, 2025. The 900% jump in the delivery notice fee – from $1 to $10 per contract – imposes an unjust and exclusive burden on the precious metals market, which is the </w:t>
      </w:r>
      <w:r w:rsidRPr="006631C2">
        <w:rPr>
          <w:b/>
          <w:bCs/>
          <w:i/>
          <w:iCs/>
          <w:sz w:val="20"/>
          <w:szCs w:val="20"/>
        </w:rPr>
        <w:t xml:space="preserve">only </w:t>
      </w:r>
      <w:r w:rsidRPr="006631C2">
        <w:rPr>
          <w:sz w:val="20"/>
          <w:szCs w:val="20"/>
        </w:rPr>
        <w:t>contract market singled out by this increase. The automated electronic process for issuing a delivery notice for gold, silver, platinum, or palladium is identical to that for copper, yet the copper contract continues to incur only a $1 fee. Assessing a vastly higher charge for the same automated service is akin to charging $10 for issuing a stock certificate for General Motors; meanwhile, all other certificates of public companies incur a $1 fee, without a scintilla of difference in process, effort, or expense.  Imposing such a significant cost in relation to an automated process, in an industry that is already stretched by razor-thin margins, is likely to destabilize established business models and diminish market liquidity.</w:t>
      </w:r>
    </w:p>
    <w:p w14:paraId="2C0A143F" w14:textId="77777777" w:rsidR="006631C2" w:rsidRPr="006631C2" w:rsidRDefault="006631C2" w:rsidP="006631C2">
      <w:pPr>
        <w:rPr>
          <w:sz w:val="20"/>
          <w:szCs w:val="20"/>
        </w:rPr>
      </w:pPr>
      <w:r w:rsidRPr="006631C2">
        <w:rPr>
          <w:sz w:val="20"/>
          <w:szCs w:val="20"/>
        </w:rPr>
        <w:t>Furthermore, the abrupt implementation of these changes left industry members with no opportunity for dialogue. Many firms only learned of the revised fee schedule after publication, limiting their ability to adapt their business processes. We urge CME Group to engage impacted stakeholders in advance and ensure far greater transparency before instituting changes of such magnitude.</w:t>
      </w:r>
    </w:p>
    <w:p w14:paraId="19B76E5C" w14:textId="77777777" w:rsidR="006631C2" w:rsidRPr="006631C2" w:rsidRDefault="006631C2" w:rsidP="006631C2">
      <w:pPr>
        <w:rPr>
          <w:sz w:val="20"/>
          <w:szCs w:val="20"/>
        </w:rPr>
      </w:pPr>
      <w:r w:rsidRPr="006631C2">
        <w:rPr>
          <w:sz w:val="20"/>
          <w:szCs w:val="20"/>
        </w:rPr>
        <w:t>We respectfully request reconsideration of the fee increase from $1 to $10 per contract. We also urge CME Group to engage directly with market participants in advance of any future changes, to ensure the transparency and predictability upon which these markets rely. Our membership is ready to work with the exchange to develop a solution that supports the exchange’s operational needs and the long-term health of the precious metals market.</w:t>
      </w:r>
    </w:p>
    <w:p w14:paraId="2D117F1D" w14:textId="77777777" w:rsidR="006631C2" w:rsidRPr="006631C2" w:rsidRDefault="006631C2" w:rsidP="006631C2">
      <w:pPr>
        <w:rPr>
          <w:sz w:val="20"/>
          <w:szCs w:val="20"/>
        </w:rPr>
      </w:pPr>
      <w:r w:rsidRPr="006631C2">
        <w:rPr>
          <w:sz w:val="20"/>
          <w:szCs w:val="20"/>
        </w:rPr>
        <w:t>Thank you.</w:t>
      </w:r>
    </w:p>
    <w:p w14:paraId="13463E26" w14:textId="77777777" w:rsidR="006631C2" w:rsidRPr="006631C2" w:rsidRDefault="006631C2" w:rsidP="006631C2">
      <w:pPr>
        <w:ind w:left="3600" w:firstLine="720"/>
        <w:rPr>
          <w:sz w:val="20"/>
          <w:szCs w:val="20"/>
        </w:rPr>
      </w:pPr>
      <w:r w:rsidRPr="006631C2">
        <w:rPr>
          <w:sz w:val="20"/>
          <w:szCs w:val="20"/>
        </w:rPr>
        <w:t>Sincerely,</w:t>
      </w:r>
    </w:p>
    <w:p w14:paraId="08CAFDA4" w14:textId="77777777" w:rsidR="006631C2" w:rsidRPr="006631C2" w:rsidRDefault="006631C2" w:rsidP="006631C2">
      <w:pPr>
        <w:pStyle w:val="NoSpacing"/>
        <w:rPr>
          <w:sz w:val="20"/>
          <w:szCs w:val="20"/>
        </w:rPr>
      </w:pPr>
    </w:p>
    <w:p w14:paraId="6E713B24" w14:textId="64819EBA" w:rsidR="006631C2" w:rsidRPr="006631C2" w:rsidRDefault="006631C2" w:rsidP="006631C2">
      <w:pPr>
        <w:pStyle w:val="NoSpacing"/>
        <w:ind w:left="4320"/>
        <w:rPr>
          <w:sz w:val="20"/>
          <w:szCs w:val="20"/>
        </w:rPr>
      </w:pPr>
      <w:r>
        <w:rPr>
          <w:noProof/>
          <w:sz w:val="20"/>
          <w:szCs w:val="20"/>
          <w14:ligatures w14:val="none"/>
        </w:rPr>
        <w:drawing>
          <wp:inline distT="0" distB="0" distL="0" distR="0" wp14:anchorId="5BB337AF" wp14:editId="1C4D919E">
            <wp:extent cx="1123950" cy="428191"/>
            <wp:effectExtent l="0" t="0" r="0" b="0"/>
            <wp:docPr id="203668976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89760" name="Picture 1" descr="A close-up of a signatu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1487" cy="434872"/>
                    </a:xfrm>
                    <a:prstGeom prst="rect">
                      <a:avLst/>
                    </a:prstGeom>
                  </pic:spPr>
                </pic:pic>
              </a:graphicData>
            </a:graphic>
          </wp:inline>
        </w:drawing>
      </w:r>
    </w:p>
    <w:p w14:paraId="08F6C79F" w14:textId="77777777" w:rsidR="006631C2" w:rsidRPr="006631C2" w:rsidRDefault="006631C2" w:rsidP="006631C2">
      <w:pPr>
        <w:pStyle w:val="NoSpacing"/>
        <w:ind w:left="3600" w:firstLine="720"/>
        <w:rPr>
          <w:sz w:val="20"/>
          <w:szCs w:val="20"/>
        </w:rPr>
      </w:pPr>
      <w:r w:rsidRPr="006631C2">
        <w:rPr>
          <w:sz w:val="20"/>
          <w:szCs w:val="20"/>
        </w:rPr>
        <w:t>Larry Drummond, Executive Director</w:t>
      </w:r>
    </w:p>
    <w:p w14:paraId="7E54D5D5" w14:textId="77777777" w:rsidR="006631C2" w:rsidRPr="003D26AB" w:rsidRDefault="006631C2" w:rsidP="006631C2">
      <w:pPr>
        <w:pStyle w:val="NoSpacing"/>
        <w:ind w:left="3600" w:firstLine="720"/>
      </w:pPr>
      <w:r>
        <w:t>International Precious Metals Institute</w:t>
      </w:r>
      <w:r w:rsidRPr="003D26AB">
        <w:br/>
      </w:r>
    </w:p>
    <w:p w14:paraId="179C39A1" w14:textId="77777777" w:rsidR="006631C2" w:rsidRDefault="006631C2" w:rsidP="006631C2">
      <w:pPr>
        <w:pStyle w:val="NoSpacing"/>
      </w:pPr>
      <w:r>
        <w:t>cc:</w:t>
      </w:r>
      <w:r>
        <w:tab/>
        <w:t>Thomas Hart (</w:t>
      </w:r>
      <w:hyperlink r:id="rId11" w:history="1">
        <w:r w:rsidRPr="008B46E5">
          <w:rPr>
            <w:rStyle w:val="Hyperlink"/>
          </w:rPr>
          <w:t>thomas.hart@cmegroup.com</w:t>
        </w:r>
      </w:hyperlink>
      <w:r>
        <w:t>)</w:t>
      </w:r>
    </w:p>
    <w:p w14:paraId="54B0C844" w14:textId="0FB4A6A0" w:rsidR="006631C2" w:rsidRDefault="006631C2" w:rsidP="000B1F07">
      <w:pPr>
        <w:pStyle w:val="NoSpacing"/>
        <w:ind w:firstLine="720"/>
      </w:pPr>
      <w:r>
        <w:t>James Sullivan (</w:t>
      </w:r>
      <w:hyperlink r:id="rId12" w:history="1">
        <w:r w:rsidRPr="008B46E5">
          <w:rPr>
            <w:rStyle w:val="Hyperlink"/>
          </w:rPr>
          <w:t>sullivan@cmegroup.com</w:t>
        </w:r>
      </w:hyperlink>
      <w:r>
        <w:t>)</w:t>
      </w:r>
    </w:p>
    <w:p w14:paraId="42507493" w14:textId="77777777" w:rsidR="00AA6482" w:rsidRPr="005E11CF" w:rsidRDefault="00AA6482" w:rsidP="00CF1FFA"/>
    <w:sectPr w:rsidR="00AA6482" w:rsidRPr="005E11CF" w:rsidSect="00951107">
      <w:footerReference w:type="default" r:id="rId1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3FD1" w14:textId="77777777" w:rsidR="00F1178E" w:rsidRDefault="00F1178E" w:rsidP="00AC0EE2">
      <w:pPr>
        <w:spacing w:after="0" w:line="240" w:lineRule="auto"/>
      </w:pPr>
      <w:r>
        <w:separator/>
      </w:r>
    </w:p>
  </w:endnote>
  <w:endnote w:type="continuationSeparator" w:id="0">
    <w:p w14:paraId="545BECB2" w14:textId="77777777" w:rsidR="00F1178E" w:rsidRDefault="00F1178E" w:rsidP="00AC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A099" w14:textId="3238D050" w:rsidR="00B54DAA" w:rsidRPr="00A352D1" w:rsidRDefault="00B54DAA" w:rsidP="00832EBA">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heme="minorHAnsi"/>
        <w:b/>
        <w:bCs/>
        <w:color w:val="002060"/>
        <w:sz w:val="20"/>
        <w:szCs w:val="20"/>
      </w:rPr>
    </w:pPr>
    <w:r w:rsidRPr="00A352D1">
      <w:rPr>
        <w:rFonts w:ascii="Arial Narrow" w:hAnsi="Arial Narrow" w:cstheme="minorHAnsi"/>
        <w:b/>
        <w:bCs/>
        <w:color w:val="002060"/>
        <w:sz w:val="20"/>
        <w:szCs w:val="20"/>
      </w:rPr>
      <w:t xml:space="preserve">IPMI is the international trade association for the precious metals industry representing producers, refiners, fabricators, recyclers, users, financial institutions, merchants, scientists, private and public sector groups and the general precious metals community.  IPMI has chapters in New York, New England, the Central States, and Europe. IPMI’s Educational and Scientific Foundation recognizes excellence and achievement through student and institutional awards. </w:t>
    </w:r>
  </w:p>
  <w:p w14:paraId="10086E14" w14:textId="77777777" w:rsidR="00B54DAA" w:rsidRDefault="00B5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8CF1" w14:textId="77777777" w:rsidR="00F1178E" w:rsidRDefault="00F1178E" w:rsidP="00AC0EE2">
      <w:pPr>
        <w:spacing w:after="0" w:line="240" w:lineRule="auto"/>
      </w:pPr>
      <w:r>
        <w:separator/>
      </w:r>
    </w:p>
  </w:footnote>
  <w:footnote w:type="continuationSeparator" w:id="0">
    <w:p w14:paraId="0E9F88B8" w14:textId="77777777" w:rsidR="00F1178E" w:rsidRDefault="00F1178E" w:rsidP="00AC0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BCA32EA"/>
    <w:lvl w:ilvl="0">
      <w:start w:val="1"/>
      <w:numFmt w:val="decimal"/>
      <w:lvlText w:val="%1"/>
      <w:lvlJc w:val="left"/>
      <w:pPr>
        <w:ind w:left="0" w:firstLine="0"/>
      </w:pPr>
    </w:lvl>
    <w:lvl w:ilvl="1">
      <w:start w:val="1"/>
      <w:numFmt w:val="lowerLetter"/>
      <w:pStyle w:val="Level2"/>
      <w:lvlText w:val="%2."/>
      <w:lvlJc w:val="left"/>
      <w:pPr>
        <w:tabs>
          <w:tab w:val="num" w:pos="794"/>
        </w:tabs>
        <w:ind w:left="794" w:hanging="362"/>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506094A"/>
    <w:multiLevelType w:val="hybridMultilevel"/>
    <w:tmpl w:val="BE8C7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990129">
    <w:abstractNumId w:val="1"/>
  </w:num>
  <w:num w:numId="2" w16cid:durableId="1634560057">
    <w:abstractNumId w:val="0"/>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07"/>
    <w:rsid w:val="00010DC6"/>
    <w:rsid w:val="000617A7"/>
    <w:rsid w:val="00067E27"/>
    <w:rsid w:val="00095AA6"/>
    <w:rsid w:val="000A3808"/>
    <w:rsid w:val="000B1F07"/>
    <w:rsid w:val="000C74AB"/>
    <w:rsid w:val="001460B2"/>
    <w:rsid w:val="00180187"/>
    <w:rsid w:val="00197796"/>
    <w:rsid w:val="0019790F"/>
    <w:rsid w:val="001D2CDD"/>
    <w:rsid w:val="0028280C"/>
    <w:rsid w:val="00285728"/>
    <w:rsid w:val="002A704D"/>
    <w:rsid w:val="002D15EB"/>
    <w:rsid w:val="003467AA"/>
    <w:rsid w:val="00355604"/>
    <w:rsid w:val="00371BC2"/>
    <w:rsid w:val="00372C3D"/>
    <w:rsid w:val="00413166"/>
    <w:rsid w:val="004401D8"/>
    <w:rsid w:val="00447E43"/>
    <w:rsid w:val="004A6EA8"/>
    <w:rsid w:val="00525937"/>
    <w:rsid w:val="00534117"/>
    <w:rsid w:val="005623BF"/>
    <w:rsid w:val="005B084D"/>
    <w:rsid w:val="005D3562"/>
    <w:rsid w:val="005E11CF"/>
    <w:rsid w:val="005F7921"/>
    <w:rsid w:val="006268AF"/>
    <w:rsid w:val="006563ED"/>
    <w:rsid w:val="006612A8"/>
    <w:rsid w:val="006631C2"/>
    <w:rsid w:val="006653A2"/>
    <w:rsid w:val="00683DFC"/>
    <w:rsid w:val="006C54DC"/>
    <w:rsid w:val="0071764A"/>
    <w:rsid w:val="007853B2"/>
    <w:rsid w:val="007D6E63"/>
    <w:rsid w:val="00832EBA"/>
    <w:rsid w:val="00874EAC"/>
    <w:rsid w:val="008D2CD4"/>
    <w:rsid w:val="009464CC"/>
    <w:rsid w:val="00951107"/>
    <w:rsid w:val="00A17955"/>
    <w:rsid w:val="00A352D1"/>
    <w:rsid w:val="00A66ACE"/>
    <w:rsid w:val="00AA6482"/>
    <w:rsid w:val="00AC0EE2"/>
    <w:rsid w:val="00B05D5C"/>
    <w:rsid w:val="00B10CBC"/>
    <w:rsid w:val="00B54DAA"/>
    <w:rsid w:val="00C51336"/>
    <w:rsid w:val="00CB740D"/>
    <w:rsid w:val="00CF1FFA"/>
    <w:rsid w:val="00CF4E8C"/>
    <w:rsid w:val="00D34E36"/>
    <w:rsid w:val="00D46C8F"/>
    <w:rsid w:val="00D70ECE"/>
    <w:rsid w:val="00D841BA"/>
    <w:rsid w:val="00E433C9"/>
    <w:rsid w:val="00ED43A2"/>
    <w:rsid w:val="00F1178E"/>
    <w:rsid w:val="00F7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99724"/>
  <w15:chartTrackingRefBased/>
  <w15:docId w15:val="{6A0DCE22-6A06-4F68-85F2-74D6D11B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107"/>
    <w:rPr>
      <w:color w:val="0563C1" w:themeColor="hyperlink"/>
      <w:u w:val="single"/>
    </w:rPr>
  </w:style>
  <w:style w:type="character" w:styleId="UnresolvedMention">
    <w:name w:val="Unresolved Mention"/>
    <w:basedOn w:val="DefaultParagraphFont"/>
    <w:uiPriority w:val="99"/>
    <w:semiHidden/>
    <w:unhideWhenUsed/>
    <w:rsid w:val="00951107"/>
    <w:rPr>
      <w:color w:val="605E5C"/>
      <w:shd w:val="clear" w:color="auto" w:fill="E1DFDD"/>
    </w:rPr>
  </w:style>
  <w:style w:type="paragraph" w:styleId="Header">
    <w:name w:val="header"/>
    <w:basedOn w:val="Normal"/>
    <w:link w:val="HeaderChar"/>
    <w:uiPriority w:val="99"/>
    <w:unhideWhenUsed/>
    <w:rsid w:val="00AC0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EE2"/>
  </w:style>
  <w:style w:type="paragraph" w:styleId="Footer">
    <w:name w:val="footer"/>
    <w:basedOn w:val="Normal"/>
    <w:link w:val="FooterChar"/>
    <w:uiPriority w:val="99"/>
    <w:unhideWhenUsed/>
    <w:rsid w:val="00AC0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EE2"/>
  </w:style>
  <w:style w:type="paragraph" w:styleId="ListParagraph">
    <w:name w:val="List Paragraph"/>
    <w:basedOn w:val="Normal"/>
    <w:uiPriority w:val="34"/>
    <w:qFormat/>
    <w:rsid w:val="00CF1FFA"/>
    <w:pPr>
      <w:ind w:left="720"/>
      <w:contextualSpacing/>
    </w:pPr>
  </w:style>
  <w:style w:type="paragraph" w:customStyle="1" w:styleId="Level2">
    <w:name w:val="Level 2"/>
    <w:basedOn w:val="Normal"/>
    <w:rsid w:val="00372C3D"/>
    <w:pPr>
      <w:widowControl w:val="0"/>
      <w:numPr>
        <w:ilvl w:val="1"/>
        <w:numId w:val="2"/>
      </w:numPr>
      <w:autoSpaceDE w:val="0"/>
      <w:autoSpaceDN w:val="0"/>
      <w:adjustRightInd w:val="0"/>
      <w:spacing w:after="0" w:line="240" w:lineRule="auto"/>
      <w:ind w:left="794" w:hanging="362"/>
      <w:outlineLvl w:val="1"/>
    </w:pPr>
    <w:rPr>
      <w:rFonts w:eastAsia="Times New Roman"/>
      <w:sz w:val="20"/>
    </w:rPr>
  </w:style>
  <w:style w:type="paragraph" w:styleId="NoSpacing">
    <w:name w:val="No Spacing"/>
    <w:uiPriority w:val="1"/>
    <w:qFormat/>
    <w:rsid w:val="006631C2"/>
    <w:pPr>
      <w:spacing w:after="0" w:line="240" w:lineRule="auto"/>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886431">
      <w:bodyDiv w:val="1"/>
      <w:marLeft w:val="0"/>
      <w:marRight w:val="0"/>
      <w:marTop w:val="0"/>
      <w:marBottom w:val="0"/>
      <w:divBdr>
        <w:top w:val="none" w:sz="0" w:space="0" w:color="auto"/>
        <w:left w:val="none" w:sz="0" w:space="0" w:color="auto"/>
        <w:bottom w:val="none" w:sz="0" w:space="0" w:color="auto"/>
        <w:right w:val="none" w:sz="0" w:space="0" w:color="auto"/>
      </w:divBdr>
    </w:div>
    <w:div w:id="1179542677">
      <w:bodyDiv w:val="1"/>
      <w:marLeft w:val="0"/>
      <w:marRight w:val="0"/>
      <w:marTop w:val="0"/>
      <w:marBottom w:val="0"/>
      <w:divBdr>
        <w:top w:val="none" w:sz="0" w:space="0" w:color="auto"/>
        <w:left w:val="none" w:sz="0" w:space="0" w:color="auto"/>
        <w:bottom w:val="none" w:sz="0" w:space="0" w:color="auto"/>
        <w:right w:val="none" w:sz="0" w:space="0" w:color="auto"/>
      </w:divBdr>
    </w:div>
    <w:div w:id="16085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ipmi.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ullivan@cme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omas.hart@cmegrou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tif"/><Relationship Id="rId4" Type="http://schemas.openxmlformats.org/officeDocument/2006/relationships/webSettings" Target="webSettings.xml"/><Relationship Id="rId9" Type="http://schemas.openxmlformats.org/officeDocument/2006/relationships/hyperlink" Target="mailto:maureen.guilfoile@cme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2406</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Stephen K.</dc:creator>
  <cp:keywords/>
  <dc:description/>
  <cp:lastModifiedBy>Scott Schwartz</cp:lastModifiedBy>
  <cp:revision>2</cp:revision>
  <cp:lastPrinted>2025-05-28T14:24:00Z</cp:lastPrinted>
  <dcterms:created xsi:type="dcterms:W3CDTF">2025-09-29T03:13:00Z</dcterms:created>
  <dcterms:modified xsi:type="dcterms:W3CDTF">2025-09-29T03:13:00Z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431057a7-7b80-42ba-83b1-e9376af22045</vt:lpwstr>
  </property>
</Properties>
</file>